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5FD6" w14:textId="77777777" w:rsidR="00F654DD" w:rsidRPr="005D7CA1" w:rsidRDefault="00F654DD" w:rsidP="00F654DD">
      <w:pPr>
        <w:spacing w:after="120"/>
        <w:ind w:right="595"/>
        <w:jc w:val="both"/>
        <w:rPr>
          <w:b/>
          <w:caps/>
          <w:sz w:val="24"/>
          <w:szCs w:val="24"/>
        </w:rPr>
      </w:pPr>
      <w:r w:rsidRPr="005D7CA1">
        <w:rPr>
          <w:b/>
          <w:caps/>
          <w:sz w:val="24"/>
          <w:szCs w:val="24"/>
        </w:rPr>
        <w:t xml:space="preserve">PNRR MUR - M4 - C2 - INVESTIMENTO 1.4 - National Center for Gene Therapy and Drugs based on RNA Technology - CN_00000041 - 'Potenziamento strutture di ricerca e creazione di "campioni nazionali di R&amp;S" su alcune Key Enabling Technologies' finanziato dall'Unione europea - Next Generation EU'- </w:t>
      </w:r>
    </w:p>
    <w:p w14:paraId="08CF8AD5" w14:textId="77777777" w:rsidR="00F654DD" w:rsidRPr="00CD4678" w:rsidRDefault="00F654DD" w:rsidP="00F654DD">
      <w:pPr>
        <w:spacing w:after="120"/>
        <w:ind w:right="595"/>
        <w:jc w:val="both"/>
        <w:rPr>
          <w:b/>
          <w:caps/>
          <w:sz w:val="24"/>
          <w:szCs w:val="24"/>
          <w:lang w:val="en-US"/>
        </w:rPr>
      </w:pPr>
      <w:r w:rsidRPr="00CD4678">
        <w:rPr>
          <w:b/>
          <w:caps/>
          <w:sz w:val="24"/>
          <w:szCs w:val="24"/>
          <w:lang w:val="en-US"/>
        </w:rPr>
        <w:t>Spoke</w:t>
      </w:r>
      <w:r>
        <w:rPr>
          <w:b/>
          <w:caps/>
          <w:sz w:val="24"/>
          <w:szCs w:val="24"/>
          <w:lang w:val="en-US"/>
        </w:rPr>
        <w:t>#</w:t>
      </w:r>
      <w:r w:rsidRPr="00CD4678">
        <w:rPr>
          <w:b/>
          <w:caps/>
          <w:sz w:val="24"/>
          <w:szCs w:val="24"/>
          <w:lang w:val="en-US"/>
        </w:rPr>
        <w:t>10 “Pre-clinical development, GMP manufacturing and clinical trials of GTMP” CUP B83D21013800004</w:t>
      </w:r>
    </w:p>
    <w:p w14:paraId="1D0DCB0C" w14:textId="77777777" w:rsidR="00F654DD" w:rsidRPr="005D7DE6" w:rsidRDefault="00F654DD" w:rsidP="00F654DD">
      <w:pPr>
        <w:spacing w:after="120"/>
        <w:ind w:right="595"/>
        <w:jc w:val="both"/>
        <w:rPr>
          <w:b/>
          <w:caps/>
          <w:sz w:val="24"/>
          <w:szCs w:val="24"/>
        </w:rPr>
      </w:pPr>
      <w:bookmarkStart w:id="0" w:name="_Hlk179025962"/>
      <w:r w:rsidRPr="005D7DE6">
        <w:rPr>
          <w:b/>
          <w:caps/>
          <w:sz w:val="24"/>
          <w:szCs w:val="24"/>
        </w:rPr>
        <w:t>PROGETTAZIONE ESECUTIVA E REALIZZAZIONE DI CAMERA BIANCA PER ALLOGGIAMENTO DI ISOLATORE AUTOMATIZZATO PER LA PRODUZIONE SU SCALA INDUSTRIALE DI TERAPIE AVANZATE (</w:t>
      </w:r>
      <w:proofErr w:type="spellStart"/>
      <w:r w:rsidRPr="005D7DE6">
        <w:rPr>
          <w:b/>
          <w:caps/>
          <w:sz w:val="24"/>
          <w:szCs w:val="24"/>
        </w:rPr>
        <w:t>AMPT</w:t>
      </w:r>
      <w:r w:rsidRPr="005D7DE6">
        <w:rPr>
          <w:b/>
          <w:sz w:val="24"/>
          <w:szCs w:val="24"/>
        </w:rPr>
        <w:t>s</w:t>
      </w:r>
      <w:proofErr w:type="spellEnd"/>
      <w:r w:rsidRPr="005D7DE6">
        <w:rPr>
          <w:b/>
          <w:caps/>
          <w:sz w:val="24"/>
          <w:szCs w:val="24"/>
        </w:rPr>
        <w:t xml:space="preserve">) </w:t>
      </w:r>
    </w:p>
    <w:bookmarkEnd w:id="0"/>
    <w:p w14:paraId="353351A5" w14:textId="77777777" w:rsidR="00F654DD" w:rsidRDefault="00F654DD" w:rsidP="00F654DD">
      <w:pPr>
        <w:ind w:right="595"/>
        <w:jc w:val="both"/>
        <w:rPr>
          <w:b/>
          <w:caps/>
          <w:sz w:val="24"/>
          <w:szCs w:val="24"/>
        </w:rPr>
      </w:pPr>
      <w:r w:rsidRPr="0088523E">
        <w:rPr>
          <w:b/>
          <w:caps/>
          <w:sz w:val="24"/>
          <w:szCs w:val="24"/>
        </w:rPr>
        <w:t>PROCEDURA NEGOZIATA PREVIA INDAGINE DI MERCATO PER AFFIDAMENTO DI APPALTO INTEGRATO AI SENSI DELL’ART. 44 E 50 C. 1 LETTERA C) DEL D.LGS. N. 36/2023</w:t>
      </w:r>
    </w:p>
    <w:p w14:paraId="2482C6CA" w14:textId="3E3F0724" w:rsidR="00F654DD" w:rsidRPr="00765109" w:rsidRDefault="00F654DD" w:rsidP="00F654DD">
      <w:pPr>
        <w:pStyle w:val="Indice"/>
        <w:jc w:val="center"/>
        <w:rPr>
          <w:sz w:val="28"/>
          <w:szCs w:val="28"/>
        </w:rPr>
      </w:pPr>
      <w:r w:rsidRPr="00765109">
        <w:rPr>
          <w:b/>
          <w:bCs/>
          <w:sz w:val="28"/>
          <w:szCs w:val="28"/>
        </w:rPr>
        <w:t>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w:t>
      </w:r>
      <w:r w:rsidR="00184306" w:rsidRPr="006533B7">
        <w:rPr>
          <w:rFonts w:eastAsia="Calibri" w:cs="Courier New"/>
          <w:sz w:val="20"/>
          <w:szCs w:val="20"/>
          <w:lang w:eastAsia="it-IT"/>
        </w:rPr>
        <w:lastRenderedPageBreak/>
        <w:t>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79799F59" w14:textId="60BEC2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49E32466" w14:textId="77777777" w:rsidR="00C41162" w:rsidRPr="006533B7" w:rsidRDefault="00C41162" w:rsidP="00D778F8">
      <w:pPr>
        <w:ind w:left="284"/>
        <w:jc w:val="both"/>
        <w:rPr>
          <w:i/>
          <w:sz w:val="20"/>
          <w:szCs w:val="20"/>
        </w:rPr>
      </w:pPr>
    </w:p>
    <w:p w14:paraId="29F83BB1" w14:textId="77777777" w:rsidR="00C41162" w:rsidRPr="006533B7" w:rsidRDefault="00184306" w:rsidP="00BF1D89">
      <w:pPr>
        <w:jc w:val="both"/>
        <w:rPr>
          <w:b/>
          <w:i/>
          <w:sz w:val="20"/>
          <w:szCs w:val="20"/>
        </w:rPr>
      </w:pPr>
      <w:r w:rsidRPr="006533B7">
        <w:rPr>
          <w:b/>
          <w:i/>
          <w:sz w:val="20"/>
          <w:szCs w:val="2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w:t>
      </w:r>
      <w:r w:rsidRPr="006533B7">
        <w:rPr>
          <w:b/>
          <w:i/>
          <w:sz w:val="20"/>
          <w:szCs w:val="20"/>
        </w:rPr>
        <w:lastRenderedPageBreak/>
        <w:t>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lastRenderedPageBreak/>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lastRenderedPageBreak/>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A23E" w14:textId="77777777" w:rsidR="00C13EB6" w:rsidRDefault="00C13EB6">
      <w:pPr>
        <w:spacing w:after="0" w:line="240" w:lineRule="auto"/>
      </w:pPr>
      <w:r>
        <w:separator/>
      </w:r>
    </w:p>
  </w:endnote>
  <w:endnote w:type="continuationSeparator" w:id="0">
    <w:p w14:paraId="313D5D80" w14:textId="77777777" w:rsidR="00C13EB6" w:rsidRDefault="00C1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065D" w14:textId="77777777" w:rsidR="00C13EB6" w:rsidRDefault="00C13EB6">
      <w:pPr>
        <w:rPr>
          <w:sz w:val="12"/>
        </w:rPr>
      </w:pPr>
      <w:r>
        <w:separator/>
      </w:r>
    </w:p>
  </w:footnote>
  <w:footnote w:type="continuationSeparator" w:id="0">
    <w:p w14:paraId="67C5F494" w14:textId="77777777" w:rsidR="00C13EB6" w:rsidRDefault="00C13EB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341F90C2" w:rsidR="00C41162" w:rsidRDefault="00765109">
    <w:pPr>
      <w:pStyle w:val="Intestazione"/>
    </w:pPr>
    <w:r>
      <w:rPr>
        <w:noProof/>
      </w:rPr>
      <w:drawing>
        <wp:inline distT="0" distB="0" distL="0" distR="0" wp14:anchorId="5F65A3A2" wp14:editId="7D43FBCB">
          <wp:extent cx="6694170" cy="591185"/>
          <wp:effectExtent l="0" t="0" r="0" b="0"/>
          <wp:docPr id="8691221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170" cy="591185"/>
                  </a:xfrm>
                  <a:prstGeom prst="rect">
                    <a:avLst/>
                  </a:prstGeom>
                  <a:noFill/>
                </pic:spPr>
              </pic:pic>
            </a:graphicData>
          </a:graphic>
        </wp:inline>
      </w:drawing>
    </w: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19066925">
    <w:abstractNumId w:val="4"/>
  </w:num>
  <w:num w:numId="2" w16cid:durableId="679619484">
    <w:abstractNumId w:val="6"/>
  </w:num>
  <w:num w:numId="3" w16cid:durableId="118648381">
    <w:abstractNumId w:val="2"/>
  </w:num>
  <w:num w:numId="4" w16cid:durableId="348873194">
    <w:abstractNumId w:val="3"/>
  </w:num>
  <w:num w:numId="5" w16cid:durableId="1377437601">
    <w:abstractNumId w:val="0"/>
  </w:num>
  <w:num w:numId="6" w16cid:durableId="161967691">
    <w:abstractNumId w:val="5"/>
  </w:num>
  <w:num w:numId="7" w16cid:durableId="13615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A377A"/>
    <w:rsid w:val="002D51DB"/>
    <w:rsid w:val="00325C16"/>
    <w:rsid w:val="00345201"/>
    <w:rsid w:val="00432C93"/>
    <w:rsid w:val="00482016"/>
    <w:rsid w:val="004F26EE"/>
    <w:rsid w:val="00500F41"/>
    <w:rsid w:val="006026A2"/>
    <w:rsid w:val="006533B7"/>
    <w:rsid w:val="0066102F"/>
    <w:rsid w:val="0069625E"/>
    <w:rsid w:val="00765109"/>
    <w:rsid w:val="00942E88"/>
    <w:rsid w:val="009B5141"/>
    <w:rsid w:val="009E46B4"/>
    <w:rsid w:val="00A718A5"/>
    <w:rsid w:val="00B7690A"/>
    <w:rsid w:val="00BF1D89"/>
    <w:rsid w:val="00BF4C0F"/>
    <w:rsid w:val="00C13EB6"/>
    <w:rsid w:val="00C41162"/>
    <w:rsid w:val="00D778F8"/>
    <w:rsid w:val="00DD2513"/>
    <w:rsid w:val="00DF4EDE"/>
    <w:rsid w:val="00F05ACD"/>
    <w:rsid w:val="00F27E15"/>
    <w:rsid w:val="00F654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3978</Words>
  <Characters>22680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Emilia Pedrelli</cp:lastModifiedBy>
  <cp:revision>16</cp:revision>
  <cp:lastPrinted>2023-12-13T08:59:00Z</cp:lastPrinted>
  <dcterms:created xsi:type="dcterms:W3CDTF">2023-12-18T11:23:00Z</dcterms:created>
  <dcterms:modified xsi:type="dcterms:W3CDTF">2024-10-09T10:08:00Z</dcterms:modified>
  <dc:language>it-IT</dc:language>
</cp:coreProperties>
</file>